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atLeast"/>
        <w:jc w:val="left"/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附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>件</w:t>
      </w:r>
      <w:r>
        <w:rPr>
          <w:rFonts w:hint="eastAsia" w:eastAsia="黑体"/>
          <w:snapToGrid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overflowPunct w:val="0"/>
        <w:adjustRightInd w:val="0"/>
        <w:snapToGrid w:val="0"/>
        <w:spacing w:line="600" w:lineRule="atLeast"/>
        <w:jc w:val="center"/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佛山市高明区高技能人才培训示范性基地建设项目</w:t>
      </w:r>
    </w:p>
    <w:p>
      <w:pPr>
        <w:widowControl/>
        <w:overflowPunct w:val="0"/>
        <w:adjustRightInd w:val="0"/>
        <w:snapToGrid w:val="0"/>
        <w:spacing w:line="60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年度评估申请表</w:t>
      </w:r>
    </w:p>
    <w:tbl>
      <w:tblPr>
        <w:tblStyle w:val="2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92"/>
        <w:gridCol w:w="543"/>
        <w:gridCol w:w="755"/>
        <w:gridCol w:w="168"/>
        <w:gridCol w:w="360"/>
        <w:gridCol w:w="1020"/>
        <w:gridCol w:w="750"/>
        <w:gridCol w:w="558"/>
        <w:gridCol w:w="555"/>
        <w:gridCol w:w="1634"/>
        <w:gridCol w:w="56"/>
        <w:gridCol w:w="749"/>
        <w:gridCol w:w="1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128" w:type="dxa"/>
            <w:gridSpan w:val="1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示范性培训基地</w:t>
            </w:r>
            <w:r>
              <w:rPr>
                <w:rFonts w:eastAsia="黑体"/>
                <w:color w:val="00000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示范性培训基地</w:t>
            </w: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示范性培训基地</w:t>
            </w: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28" w:type="dxa"/>
            <w:gridSpan w:val="1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示范性培训基地</w:t>
            </w:r>
            <w:r>
              <w:rPr>
                <w:rFonts w:eastAsia="黑体"/>
                <w:color w:val="000000"/>
                <w:sz w:val="24"/>
              </w:rPr>
              <w:t>工作</w:t>
            </w:r>
            <w:r>
              <w:rPr>
                <w:rFonts w:hint="eastAsia" w:eastAsia="黑体"/>
                <w:color w:val="000000"/>
                <w:sz w:val="24"/>
              </w:rPr>
              <w:t>开展</w:t>
            </w: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考核项目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考核内容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总分值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考核要点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分值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所需材料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自评得分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资金管理（</w:t>
            </w:r>
            <w:r>
              <w:rPr>
                <w:rFonts w:hint="eastAsia" w:ascii="宋体"/>
                <w:szCs w:val="21"/>
                <w:lang w:val="en-US" w:eastAsia="zh-CN"/>
              </w:rPr>
              <w:t>40分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使用范围</w:t>
            </w:r>
          </w:p>
        </w:tc>
        <w:tc>
          <w:tcPr>
            <w:tcW w:w="528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区级财政资金的适用范围符合规定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区级财政资金适用范围的相关资料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exac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5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各类资金使用严格按照项目单位申报的《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xxx区级高技能人才培训基地建设项目实施方案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》中预算安排执行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各级各类资金预算安排与实际执行的相关资料，使用的相关票据等资料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配套资金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地方政府或行业主管部门配套资金到位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配套资金到位资料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资金核算</w:t>
            </w:r>
          </w:p>
        </w:tc>
        <w:tc>
          <w:tcPr>
            <w:tcW w:w="528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设立项目资金专账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资金专账票据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528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项目经费专款专用、管理到位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项目经费管理到位的佐证材料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exac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项目产出</w:t>
            </w:r>
            <w:r>
              <w:rPr>
                <w:rFonts w:hint="eastAsia" w:ascii="宋体"/>
                <w:szCs w:val="21"/>
                <w:lang w:val="en-US" w:eastAsia="zh-CN"/>
              </w:rPr>
              <w:t>(60分）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体系构建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培训模式、课程设置、师资建设、培训装备和能力评价等方面构建了较为完备的高技能人才培训体系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5个环节体现校企合作、有机运营、效果良好的总结材料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规模效应</w:t>
            </w:r>
          </w:p>
        </w:tc>
        <w:tc>
          <w:tcPr>
            <w:tcW w:w="528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项目建设经验在本区域高技能人才培训领域发挥引领示范作用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项目建设经验在本区域发挥引领示范作用的佐证材料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5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所建设专业高级工以上高技能人才（含高级工）年培训达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300人（第一年200名）以上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培训学员的身份证、缴费单、学员名册、培训合格证等佐证材料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评价反馈</w:t>
            </w:r>
          </w:p>
        </w:tc>
        <w:tc>
          <w:tcPr>
            <w:tcW w:w="528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建立了培训质量社会评价机制，培训后，校企合作的用人单位满意率达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85%以上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用人单位满意率调查表、调查报告等相关资料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528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建立了培训质量社会评价机制，培训后，学员满意率达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85%以上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学员满意率调查表、调查报告等相关资料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75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经验总结</w:t>
            </w:r>
          </w:p>
        </w:tc>
        <w:tc>
          <w:tcPr>
            <w:tcW w:w="528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总结本单位高技能人才培训的基本规律和科学方法，提炼高技能人才培训基地建设的经验和做法，并形成总结报告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总结报告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528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总结报告中高技能人才培训的做法体现模式创新、方法创新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6399" w:type="dxa"/>
            <w:gridSpan w:val="10"/>
            <w:vAlign w:val="center"/>
          </w:tcPr>
          <w:p>
            <w:pPr>
              <w:widowControl/>
              <w:ind w:firstLine="2520" w:firstLineChars="1200"/>
              <w:jc w:val="left"/>
              <w:rPr>
                <w:rFonts w:hint="eastAsia" w:asci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100分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9128" w:type="dxa"/>
            <w:gridSpan w:val="15"/>
            <w:vAlign w:val="center"/>
          </w:tcPr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eastAsia="黑体"/>
                <w:color w:val="000000"/>
                <w:sz w:val="24"/>
              </w:rPr>
              <w:t>单位意见：</w:t>
            </w:r>
          </w:p>
          <w:p>
            <w:pPr>
              <w:overflowPunct w:val="0"/>
              <w:spacing w:line="42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20" w:lineRule="exact"/>
              <w:jc w:val="righ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15"/>
            <w:vAlign w:val="top"/>
          </w:tcPr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区人力资源社会保障局评估</w:t>
            </w:r>
            <w:r>
              <w:rPr>
                <w:rFonts w:eastAsia="黑体"/>
                <w:color w:val="000000"/>
                <w:sz w:val="24"/>
              </w:rPr>
              <w:t>意见：</w:t>
            </w: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>（盖章）</w:t>
            </w:r>
          </w:p>
          <w:p>
            <w:pPr>
              <w:widowControl/>
              <w:ind w:firstLine="7200" w:firstLineChars="3000"/>
              <w:jc w:val="both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/>
          <w:szCs w:val="21"/>
          <w:lang w:eastAsia="zh-CN"/>
        </w:rPr>
      </w:pPr>
      <w:r>
        <w:rPr>
          <w:rFonts w:hint="eastAsia" w:ascii="宋体" w:cs="宋体"/>
          <w:kern w:val="0"/>
          <w:szCs w:val="21"/>
          <w:lang w:eastAsia="zh-CN"/>
        </w:rPr>
        <w:t>注：</w:t>
      </w:r>
      <w:r>
        <w:rPr>
          <w:rFonts w:hint="eastAsia" w:ascii="宋体" w:cs="宋体"/>
          <w:kern w:val="0"/>
          <w:szCs w:val="21"/>
          <w:lang w:val="en-US" w:eastAsia="zh-CN"/>
        </w:rPr>
        <w:t>1.</w:t>
      </w:r>
      <w:r>
        <w:rPr>
          <w:rFonts w:hint="eastAsia" w:ascii="宋体" w:cs="宋体"/>
          <w:kern w:val="0"/>
          <w:szCs w:val="21"/>
          <w:lang w:eastAsia="zh-CN"/>
        </w:rPr>
        <w:t>满分</w:t>
      </w:r>
      <w:r>
        <w:rPr>
          <w:rFonts w:hint="eastAsia" w:ascii="宋体" w:cs="宋体"/>
          <w:kern w:val="0"/>
          <w:szCs w:val="21"/>
          <w:lang w:val="en-US" w:eastAsia="zh-CN"/>
        </w:rPr>
        <w:t>100分，</w:t>
      </w:r>
      <w:r>
        <w:rPr>
          <w:rFonts w:hint="eastAsia" w:ascii="宋体"/>
          <w:szCs w:val="21"/>
          <w:lang w:val="en-US" w:eastAsia="zh-CN"/>
        </w:rPr>
        <w:t>80分以上为优秀，</w:t>
      </w:r>
      <w:r>
        <w:rPr>
          <w:rFonts w:hint="eastAsia" w:ascii="宋体"/>
          <w:szCs w:val="21"/>
        </w:rPr>
        <w:t>60分</w:t>
      </w:r>
      <w:r>
        <w:rPr>
          <w:rFonts w:hint="eastAsia" w:ascii="宋体"/>
          <w:szCs w:val="21"/>
          <w:lang w:val="en-US" w:eastAsia="zh-CN"/>
        </w:rPr>
        <w:t>-79分</w:t>
      </w:r>
      <w:r>
        <w:rPr>
          <w:rFonts w:hint="eastAsia" w:ascii="宋体"/>
          <w:szCs w:val="21"/>
        </w:rPr>
        <w:t>为合格，60 分以下为不合格</w:t>
      </w:r>
      <w:r>
        <w:rPr>
          <w:rFonts w:hint="eastAsia" w:ascii="宋体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25" w:leftChars="200" w:hanging="105" w:hangingChars="50"/>
        <w:textAlignment w:val="auto"/>
        <w:rPr>
          <w:rFonts w:hint="eastAsia" w:ascii="宋体"/>
          <w:szCs w:val="21"/>
          <w:lang w:val="en-US" w:eastAsia="zh-CN"/>
        </w:rPr>
      </w:pPr>
      <w:r>
        <w:rPr>
          <w:rFonts w:hint="eastAsia" w:ascii="宋体"/>
          <w:szCs w:val="21"/>
          <w:lang w:val="en-US" w:eastAsia="zh-CN"/>
        </w:rPr>
        <w:t>2.</w:t>
      </w:r>
      <w:r>
        <w:rPr>
          <w:rFonts w:hint="eastAsia" w:ascii="宋体"/>
          <w:szCs w:val="21"/>
        </w:rPr>
        <w:t>该表填报内容作为</w:t>
      </w:r>
      <w:r>
        <w:rPr>
          <w:rFonts w:hint="eastAsia" w:ascii="宋体"/>
          <w:szCs w:val="21"/>
          <w:lang w:eastAsia="zh-CN"/>
        </w:rPr>
        <w:t>示范性培训基地</w:t>
      </w:r>
      <w:r>
        <w:rPr>
          <w:rFonts w:hint="eastAsia" w:ascii="宋体"/>
          <w:szCs w:val="21"/>
          <w:lang w:val="en-US" w:eastAsia="zh-CN"/>
        </w:rPr>
        <w:t>建设项目</w:t>
      </w:r>
      <w:r>
        <w:rPr>
          <w:rFonts w:hint="eastAsia" w:ascii="宋体"/>
          <w:szCs w:val="21"/>
        </w:rPr>
        <w:t>年度评估</w:t>
      </w:r>
      <w:r>
        <w:rPr>
          <w:rFonts w:hint="eastAsia" w:ascii="宋体"/>
          <w:szCs w:val="21"/>
          <w:lang w:eastAsia="zh-CN"/>
        </w:rPr>
        <w:t>和建设期满验收</w:t>
      </w:r>
      <w:r>
        <w:rPr>
          <w:rFonts w:hint="eastAsia" w:ascii="宋体"/>
          <w:szCs w:val="21"/>
        </w:rPr>
        <w:t>的主要依据，请如实填写详细情况</w:t>
      </w:r>
      <w:r>
        <w:rPr>
          <w:rFonts w:hint="eastAsia" w:ascii="宋体"/>
          <w:szCs w:val="21"/>
          <w:lang w:eastAsia="zh-CN"/>
        </w:rPr>
        <w:t>并提交相关佐证材料。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A"/>
    <w:rsid w:val="00635EC0"/>
    <w:rsid w:val="00F22C9A"/>
    <w:rsid w:val="02451856"/>
    <w:rsid w:val="03EE2576"/>
    <w:rsid w:val="04F77409"/>
    <w:rsid w:val="07F902C8"/>
    <w:rsid w:val="083B2CF4"/>
    <w:rsid w:val="09983E38"/>
    <w:rsid w:val="0ACD4B90"/>
    <w:rsid w:val="103773F5"/>
    <w:rsid w:val="1B7F0E4D"/>
    <w:rsid w:val="207B63D3"/>
    <w:rsid w:val="228C0307"/>
    <w:rsid w:val="22B261DF"/>
    <w:rsid w:val="24782EE8"/>
    <w:rsid w:val="261E5D59"/>
    <w:rsid w:val="26D078F8"/>
    <w:rsid w:val="2E0D1655"/>
    <w:rsid w:val="31D47995"/>
    <w:rsid w:val="3226461E"/>
    <w:rsid w:val="345D43E4"/>
    <w:rsid w:val="353300F8"/>
    <w:rsid w:val="35417AE5"/>
    <w:rsid w:val="37A76ABC"/>
    <w:rsid w:val="39961E72"/>
    <w:rsid w:val="39DF0A9D"/>
    <w:rsid w:val="3F191D58"/>
    <w:rsid w:val="4A706261"/>
    <w:rsid w:val="4CE36040"/>
    <w:rsid w:val="4FB85633"/>
    <w:rsid w:val="57FD1F47"/>
    <w:rsid w:val="5C14349F"/>
    <w:rsid w:val="5C8110B7"/>
    <w:rsid w:val="5D22453A"/>
    <w:rsid w:val="66860FCE"/>
    <w:rsid w:val="66D47FC9"/>
    <w:rsid w:val="6C4D3A5A"/>
    <w:rsid w:val="6E1B1F50"/>
    <w:rsid w:val="6E39034F"/>
    <w:rsid w:val="6E58726A"/>
    <w:rsid w:val="715D39DB"/>
    <w:rsid w:val="720C6426"/>
    <w:rsid w:val="7B726C59"/>
    <w:rsid w:val="7B8F2881"/>
    <w:rsid w:val="7D5A2519"/>
    <w:rsid w:val="7E8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57</Words>
  <Characters>330</Characters>
  <Lines>2</Lines>
  <Paragraphs>1</Paragraphs>
  <TotalTime>33</TotalTime>
  <ScaleCrop>false</ScaleCrop>
  <LinksUpToDate>false</LinksUpToDate>
  <CharactersWithSpaces>386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2019-10-17T06:48:00Z</dcterms:created>
  <dc:creator>颜志强</dc:creator>
  <cp:lastModifiedBy>good由尔生</cp:lastModifiedBy>
  <dcterms:modified xsi:type="dcterms:W3CDTF">2021-09-06T01:20:04Z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22B747E850A640D2B406AED33F31A8DA</vt:lpwstr>
  </property>
</Properties>
</file>